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2B" w:rsidRDefault="00CC112B" w:rsidP="00CC112B">
      <w:pPr>
        <w:rPr>
          <w:b/>
        </w:rPr>
      </w:pPr>
    </w:p>
    <w:p w:rsidR="00523590" w:rsidRDefault="00523590" w:rsidP="00CC112B">
      <w:pPr>
        <w:ind w:left="720"/>
        <w:jc w:val="center"/>
      </w:pPr>
    </w:p>
    <w:p w:rsidR="00523590" w:rsidRDefault="00523590" w:rsidP="00FB0D8A">
      <w:pPr>
        <w:pStyle w:val="Ttulo1"/>
      </w:pPr>
      <w:r>
        <w:t xml:space="preserve">INFORME SOBRE </w:t>
      </w:r>
      <w:r>
        <w:t xml:space="preserve">AVANCE </w:t>
      </w:r>
      <w:r w:rsidRPr="00CC112B">
        <w:t xml:space="preserve">PROYECTO DE </w:t>
      </w:r>
      <w:r>
        <w:t>ELABORACIÓN DEL PLAN DE ESTUDIOS</w:t>
      </w:r>
    </w:p>
    <w:p w:rsidR="00523590" w:rsidRDefault="00523590" w:rsidP="00523590">
      <w:pPr>
        <w:ind w:left="720"/>
        <w:jc w:val="center"/>
      </w:pPr>
    </w:p>
    <w:p w:rsidR="00523590" w:rsidRDefault="00523590" w:rsidP="00523590">
      <w:pPr>
        <w:ind w:left="720"/>
        <w:jc w:val="center"/>
      </w:pPr>
    </w:p>
    <w:p w:rsidR="00BD3FB7" w:rsidRDefault="00523590" w:rsidP="00523590">
      <w:r>
        <w:t xml:space="preserve">El </w:t>
      </w:r>
      <w:r>
        <w:t>plan de estudios es el esquema estructurado de las áreas obligatorias y fundamentales y de áreas optativas con sus respectivas asignaturas que forman parte del currículo de los establecimientos educativos.</w:t>
      </w:r>
      <w:r>
        <w:t xml:space="preserve"> </w:t>
      </w:r>
      <w:r w:rsidR="00954CEA">
        <w:t>C</w:t>
      </w:r>
      <w:r>
        <w:t>oherente</w:t>
      </w:r>
      <w:r w:rsidR="00954CEA">
        <w:t xml:space="preserve"> con este planteamiento la </w:t>
      </w:r>
      <w:proofErr w:type="spellStart"/>
      <w:r w:rsidR="00954CEA">
        <w:t>IE</w:t>
      </w:r>
      <w:proofErr w:type="spellEnd"/>
      <w:r w:rsidR="00954CEA">
        <w:t xml:space="preserve">. Niña María toma la iniciativa de construir un plan de estudios que se ajuste a las necesidades reales de la institución. </w:t>
      </w:r>
    </w:p>
    <w:p w:rsidR="00BD3FB7" w:rsidRDefault="00BD3FB7" w:rsidP="00523590"/>
    <w:p w:rsidR="00C25C75" w:rsidRDefault="00BD3FB7" w:rsidP="00523590">
      <w:r>
        <w:t xml:space="preserve">Este informe se basa en la presentación de resultados de acuerdo </w:t>
      </w:r>
      <w:proofErr w:type="gramStart"/>
      <w:r>
        <w:t>a la</w:t>
      </w:r>
      <w:proofErr w:type="gramEnd"/>
      <w:r>
        <w:t xml:space="preserve"> plan operativo definido por la institución para el año lectivo 2013</w:t>
      </w:r>
    </w:p>
    <w:p w:rsidR="00C25C75" w:rsidRDefault="00C25C75">
      <w:pPr>
        <w:spacing w:after="200" w:line="276" w:lineRule="auto"/>
        <w:jc w:val="left"/>
      </w:pPr>
      <w:r>
        <w:br w:type="page"/>
      </w:r>
    </w:p>
    <w:p w:rsidR="00523590" w:rsidRDefault="00523590" w:rsidP="00523590"/>
    <w:p w:rsidR="00523590" w:rsidRDefault="00523590" w:rsidP="0052359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67"/>
        <w:gridCol w:w="1902"/>
        <w:gridCol w:w="1555"/>
        <w:gridCol w:w="1440"/>
        <w:gridCol w:w="1142"/>
        <w:gridCol w:w="1414"/>
      </w:tblGrid>
      <w:tr w:rsidR="00C25C75" w:rsidRPr="006A285D" w:rsidTr="00C25C75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75" w:rsidRPr="006A285D" w:rsidRDefault="00C25C75" w:rsidP="00746CFA">
            <w:pPr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75" w:rsidRPr="006A285D" w:rsidRDefault="00C25C75" w:rsidP="00746CFA">
            <w:pPr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75" w:rsidRPr="006A285D" w:rsidRDefault="00C25C75" w:rsidP="00746CFA">
            <w:pPr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75" w:rsidRPr="006A285D" w:rsidRDefault="00C25C75" w:rsidP="00746CFA">
            <w:pPr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75" w:rsidRPr="006A285D" w:rsidRDefault="00C25C75" w:rsidP="00746CFA">
            <w:pPr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75" w:rsidRPr="006A285D" w:rsidRDefault="00C25C75" w:rsidP="00746CFA">
            <w:pPr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</w:tr>
      <w:tr w:rsidR="00C25C75" w:rsidRPr="006A285D" w:rsidTr="00C25C75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75" w:rsidRPr="006A285D" w:rsidRDefault="00C25C75" w:rsidP="00746CFA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 w:rsidRPr="006A285D">
              <w:rPr>
                <w:sz w:val="20"/>
                <w:szCs w:val="20"/>
              </w:rPr>
              <w:t xml:space="preserve">Fecha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75" w:rsidRPr="006A285D" w:rsidRDefault="00C25C75" w:rsidP="00746CFA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 w:rsidRPr="006A285D">
              <w:rPr>
                <w:sz w:val="20"/>
                <w:szCs w:val="20"/>
              </w:rPr>
              <w:t xml:space="preserve">Tema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75" w:rsidRPr="006A285D" w:rsidRDefault="00C25C75" w:rsidP="00746CFA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 w:rsidRPr="006A285D">
              <w:rPr>
                <w:sz w:val="20"/>
                <w:szCs w:val="20"/>
              </w:rPr>
              <w:t xml:space="preserve">Recursos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75" w:rsidRPr="006A285D" w:rsidRDefault="00C25C75" w:rsidP="00746CFA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 w:rsidRPr="006A285D">
              <w:rPr>
                <w:sz w:val="20"/>
                <w:szCs w:val="20"/>
              </w:rPr>
              <w:t xml:space="preserve">Responsable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75" w:rsidRPr="006A285D" w:rsidRDefault="00C25C75" w:rsidP="00746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Realizada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75" w:rsidRDefault="00C25C75" w:rsidP="00746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Observación </w:t>
            </w:r>
          </w:p>
        </w:tc>
      </w:tr>
      <w:tr w:rsidR="00C25C75" w:rsidRPr="006A285D" w:rsidTr="00C25C75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75" w:rsidRPr="006A285D" w:rsidRDefault="00C25C75" w:rsidP="00746CFA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 w:rsidRPr="006A285D">
              <w:rPr>
                <w:sz w:val="20"/>
                <w:szCs w:val="20"/>
              </w:rPr>
              <w:t xml:space="preserve">Enero 23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75" w:rsidRPr="006A285D" w:rsidRDefault="00C25C75" w:rsidP="00746CFA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 w:rsidRPr="006A285D">
              <w:rPr>
                <w:sz w:val="20"/>
                <w:szCs w:val="20"/>
              </w:rPr>
              <w:t xml:space="preserve">Inducción sobre articulación y </w:t>
            </w:r>
            <w:proofErr w:type="spellStart"/>
            <w:r w:rsidRPr="006A285D">
              <w:rPr>
                <w:sz w:val="20"/>
                <w:szCs w:val="20"/>
              </w:rPr>
              <w:t>transvesalización</w:t>
            </w:r>
            <w:proofErr w:type="spellEnd"/>
            <w:r w:rsidRPr="006A28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75" w:rsidRPr="006A285D" w:rsidRDefault="00C25C75" w:rsidP="00746CFA">
            <w:pPr>
              <w:rPr>
                <w:rFonts w:ascii="Arial" w:hAnsi="Arial"/>
                <w:sz w:val="20"/>
                <w:szCs w:val="20"/>
              </w:rPr>
            </w:pPr>
          </w:p>
          <w:p w:rsidR="00C25C75" w:rsidRPr="006A285D" w:rsidRDefault="00C25C75" w:rsidP="00746CFA">
            <w:pPr>
              <w:rPr>
                <w:sz w:val="20"/>
                <w:szCs w:val="20"/>
              </w:rPr>
            </w:pPr>
            <w:r w:rsidRPr="006A285D">
              <w:rPr>
                <w:sz w:val="20"/>
                <w:szCs w:val="20"/>
              </w:rPr>
              <w:t>Conferencista</w:t>
            </w:r>
          </w:p>
          <w:p w:rsidR="00C25C75" w:rsidRPr="006A285D" w:rsidRDefault="00C25C75" w:rsidP="00746CFA">
            <w:pPr>
              <w:rPr>
                <w:sz w:val="20"/>
                <w:szCs w:val="20"/>
              </w:rPr>
            </w:pPr>
            <w:r w:rsidRPr="006A285D">
              <w:rPr>
                <w:sz w:val="20"/>
                <w:szCs w:val="20"/>
              </w:rPr>
              <w:t xml:space="preserve">Refrigerio  </w:t>
            </w:r>
          </w:p>
          <w:p w:rsidR="00C25C75" w:rsidRPr="006A285D" w:rsidRDefault="00C25C75" w:rsidP="00746CFA">
            <w:pPr>
              <w:rPr>
                <w:sz w:val="20"/>
                <w:szCs w:val="20"/>
              </w:rPr>
            </w:pPr>
            <w:proofErr w:type="spellStart"/>
            <w:r w:rsidRPr="006A285D">
              <w:rPr>
                <w:sz w:val="20"/>
                <w:szCs w:val="20"/>
              </w:rPr>
              <w:t>Papelógrafo</w:t>
            </w:r>
            <w:proofErr w:type="spellEnd"/>
          </w:p>
          <w:p w:rsidR="00C25C75" w:rsidRPr="006A285D" w:rsidRDefault="00C25C75" w:rsidP="00746CFA">
            <w:pPr>
              <w:rPr>
                <w:sz w:val="20"/>
                <w:szCs w:val="20"/>
              </w:rPr>
            </w:pPr>
            <w:r w:rsidRPr="006A285D">
              <w:rPr>
                <w:sz w:val="20"/>
                <w:szCs w:val="20"/>
              </w:rPr>
              <w:t>Marcadores</w:t>
            </w:r>
          </w:p>
          <w:p w:rsidR="00C25C75" w:rsidRPr="006A285D" w:rsidRDefault="00C25C75" w:rsidP="00746CFA">
            <w:pPr>
              <w:rPr>
                <w:sz w:val="20"/>
                <w:szCs w:val="20"/>
              </w:rPr>
            </w:pPr>
            <w:r w:rsidRPr="006A285D">
              <w:rPr>
                <w:sz w:val="20"/>
                <w:szCs w:val="20"/>
              </w:rPr>
              <w:t xml:space="preserve">Cartulina </w:t>
            </w:r>
          </w:p>
          <w:p w:rsidR="00C25C75" w:rsidRPr="006A285D" w:rsidRDefault="00C25C75" w:rsidP="00746CFA">
            <w:pPr>
              <w:rPr>
                <w:sz w:val="20"/>
                <w:szCs w:val="20"/>
              </w:rPr>
            </w:pPr>
            <w:r w:rsidRPr="006A285D">
              <w:rPr>
                <w:sz w:val="20"/>
                <w:szCs w:val="20"/>
              </w:rPr>
              <w:t xml:space="preserve">Temperas </w:t>
            </w:r>
          </w:p>
          <w:p w:rsidR="00C25C75" w:rsidRPr="006A285D" w:rsidRDefault="00C25C75" w:rsidP="00746CFA">
            <w:pPr>
              <w:rPr>
                <w:sz w:val="20"/>
                <w:szCs w:val="20"/>
              </w:rPr>
            </w:pPr>
            <w:r w:rsidRPr="006A285D">
              <w:rPr>
                <w:sz w:val="20"/>
                <w:szCs w:val="20"/>
              </w:rPr>
              <w:t xml:space="preserve">Video </w:t>
            </w:r>
            <w:proofErr w:type="spellStart"/>
            <w:r w:rsidRPr="006A285D">
              <w:rPr>
                <w:sz w:val="20"/>
                <w:szCs w:val="20"/>
              </w:rPr>
              <w:t>Beam</w:t>
            </w:r>
            <w:proofErr w:type="spellEnd"/>
            <w:r w:rsidRPr="006A285D">
              <w:rPr>
                <w:sz w:val="20"/>
                <w:szCs w:val="20"/>
              </w:rPr>
              <w:t xml:space="preserve"> </w:t>
            </w:r>
          </w:p>
          <w:p w:rsidR="00C25C75" w:rsidRPr="006A285D" w:rsidRDefault="00C25C75" w:rsidP="00746CFA">
            <w:pPr>
              <w:rPr>
                <w:sz w:val="20"/>
                <w:szCs w:val="20"/>
              </w:rPr>
            </w:pPr>
            <w:r w:rsidRPr="006A285D">
              <w:rPr>
                <w:sz w:val="20"/>
                <w:szCs w:val="20"/>
              </w:rPr>
              <w:t xml:space="preserve">Internet </w:t>
            </w:r>
          </w:p>
          <w:p w:rsidR="00C25C75" w:rsidRPr="006A285D" w:rsidRDefault="00C25C75" w:rsidP="00746CFA">
            <w:pPr>
              <w:rPr>
                <w:sz w:val="20"/>
                <w:szCs w:val="20"/>
              </w:rPr>
            </w:pPr>
            <w:r w:rsidRPr="006A285D">
              <w:rPr>
                <w:sz w:val="20"/>
                <w:szCs w:val="20"/>
              </w:rPr>
              <w:t xml:space="preserve">Computador portátil </w:t>
            </w:r>
          </w:p>
          <w:p w:rsidR="00C25C75" w:rsidRPr="006A285D" w:rsidRDefault="00C25C75" w:rsidP="00746CFA">
            <w:pPr>
              <w:rPr>
                <w:sz w:val="20"/>
                <w:szCs w:val="20"/>
              </w:rPr>
            </w:pPr>
            <w:r w:rsidRPr="006A285D">
              <w:rPr>
                <w:sz w:val="20"/>
                <w:szCs w:val="20"/>
              </w:rPr>
              <w:t xml:space="preserve">Videos </w:t>
            </w:r>
          </w:p>
          <w:p w:rsidR="00C25C75" w:rsidRPr="006A285D" w:rsidRDefault="00C25C75" w:rsidP="00746CFA">
            <w:pPr>
              <w:rPr>
                <w:sz w:val="20"/>
                <w:szCs w:val="20"/>
              </w:rPr>
            </w:pPr>
            <w:r w:rsidRPr="006A285D">
              <w:rPr>
                <w:sz w:val="20"/>
                <w:szCs w:val="20"/>
              </w:rPr>
              <w:t xml:space="preserve">Fotocopias </w:t>
            </w:r>
          </w:p>
          <w:p w:rsidR="00C25C75" w:rsidRPr="006A285D" w:rsidRDefault="00C25C75" w:rsidP="00746CFA">
            <w:pPr>
              <w:rPr>
                <w:sz w:val="20"/>
                <w:szCs w:val="20"/>
              </w:rPr>
            </w:pPr>
            <w:r w:rsidRPr="006A285D">
              <w:rPr>
                <w:sz w:val="20"/>
                <w:szCs w:val="20"/>
              </w:rPr>
              <w:t xml:space="preserve"> </w:t>
            </w:r>
            <w:proofErr w:type="spellStart"/>
            <w:r w:rsidRPr="006A285D">
              <w:rPr>
                <w:sz w:val="20"/>
                <w:szCs w:val="20"/>
              </w:rPr>
              <w:t>Escanner</w:t>
            </w:r>
            <w:proofErr w:type="spellEnd"/>
            <w:r w:rsidRPr="006A285D">
              <w:rPr>
                <w:sz w:val="20"/>
                <w:szCs w:val="20"/>
              </w:rPr>
              <w:t xml:space="preserve"> </w:t>
            </w:r>
          </w:p>
          <w:p w:rsidR="00C25C75" w:rsidRPr="006A285D" w:rsidRDefault="00C25C75" w:rsidP="00746CFA">
            <w:pPr>
              <w:rPr>
                <w:sz w:val="20"/>
                <w:szCs w:val="20"/>
              </w:rPr>
            </w:pPr>
            <w:r w:rsidRPr="006A285D">
              <w:rPr>
                <w:sz w:val="20"/>
                <w:szCs w:val="20"/>
              </w:rPr>
              <w:t xml:space="preserve">Impresoras </w:t>
            </w:r>
          </w:p>
          <w:p w:rsidR="00C25C75" w:rsidRPr="006A285D" w:rsidRDefault="00C25C75" w:rsidP="00746CFA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 w:rsidRPr="006A285D">
              <w:rPr>
                <w:sz w:val="20"/>
                <w:szCs w:val="20"/>
              </w:rPr>
              <w:t>Cámara digital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75" w:rsidRPr="006A285D" w:rsidRDefault="00C25C75" w:rsidP="00746CFA">
            <w:pPr>
              <w:rPr>
                <w:rFonts w:ascii="Arial" w:hAnsi="Arial"/>
                <w:sz w:val="20"/>
                <w:szCs w:val="20"/>
              </w:rPr>
            </w:pPr>
          </w:p>
          <w:p w:rsidR="00C25C75" w:rsidRPr="006A285D" w:rsidRDefault="00C25C75" w:rsidP="00746CFA">
            <w:pPr>
              <w:rPr>
                <w:sz w:val="20"/>
                <w:szCs w:val="20"/>
              </w:rPr>
            </w:pPr>
          </w:p>
          <w:p w:rsidR="00C25C75" w:rsidRPr="006A285D" w:rsidRDefault="00C25C75" w:rsidP="00746CFA">
            <w:pPr>
              <w:rPr>
                <w:sz w:val="20"/>
                <w:szCs w:val="20"/>
              </w:rPr>
            </w:pPr>
          </w:p>
          <w:p w:rsidR="00C25C75" w:rsidRPr="006A285D" w:rsidRDefault="00C25C75" w:rsidP="00746CFA">
            <w:pPr>
              <w:rPr>
                <w:sz w:val="20"/>
                <w:szCs w:val="20"/>
              </w:rPr>
            </w:pPr>
          </w:p>
          <w:p w:rsidR="00C25C75" w:rsidRPr="006A285D" w:rsidRDefault="00C25C75" w:rsidP="00746CFA">
            <w:pPr>
              <w:rPr>
                <w:sz w:val="20"/>
                <w:szCs w:val="20"/>
              </w:rPr>
            </w:pPr>
          </w:p>
          <w:p w:rsidR="00C25C75" w:rsidRPr="006A285D" w:rsidRDefault="00C25C75" w:rsidP="00746CFA">
            <w:pPr>
              <w:rPr>
                <w:sz w:val="20"/>
                <w:szCs w:val="20"/>
              </w:rPr>
            </w:pPr>
          </w:p>
          <w:p w:rsidR="00C25C75" w:rsidRPr="006A285D" w:rsidRDefault="00C25C75" w:rsidP="00746CFA">
            <w:pPr>
              <w:rPr>
                <w:sz w:val="20"/>
                <w:szCs w:val="20"/>
              </w:rPr>
            </w:pPr>
          </w:p>
          <w:p w:rsidR="00C25C75" w:rsidRPr="006A285D" w:rsidRDefault="00C25C75" w:rsidP="00746CFA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 w:rsidRPr="006A285D">
              <w:rPr>
                <w:sz w:val="20"/>
                <w:szCs w:val="20"/>
              </w:rPr>
              <w:t>Directivos docente y docente coordinador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75" w:rsidRPr="006A285D" w:rsidRDefault="00C25C75" w:rsidP="00746CF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75" w:rsidRPr="006A285D" w:rsidRDefault="00C25C75" w:rsidP="00746CF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25C75" w:rsidRPr="006A285D" w:rsidTr="00C25C75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75" w:rsidRPr="006A285D" w:rsidRDefault="00C25C75" w:rsidP="00746CFA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 w:rsidRPr="006A285D">
              <w:rPr>
                <w:sz w:val="20"/>
                <w:szCs w:val="20"/>
              </w:rPr>
              <w:t>Febrero 22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75" w:rsidRPr="006A285D" w:rsidRDefault="00C25C75" w:rsidP="00746CFA">
            <w:pPr>
              <w:rPr>
                <w:rFonts w:ascii="Arial" w:hAnsi="Arial"/>
                <w:sz w:val="20"/>
                <w:szCs w:val="20"/>
              </w:rPr>
            </w:pPr>
            <w:r w:rsidRPr="006A285D">
              <w:rPr>
                <w:sz w:val="20"/>
                <w:szCs w:val="20"/>
              </w:rPr>
              <w:t>Socialización de experiencias y expectativas de los docentes sobre las metodologías aplicadas</w:t>
            </w:r>
          </w:p>
          <w:p w:rsidR="00C25C75" w:rsidRPr="006A285D" w:rsidRDefault="00C25C75" w:rsidP="00746CFA">
            <w:pPr>
              <w:rPr>
                <w:sz w:val="20"/>
                <w:szCs w:val="20"/>
              </w:rPr>
            </w:pPr>
            <w:r w:rsidRPr="006A285D">
              <w:rPr>
                <w:sz w:val="20"/>
                <w:szCs w:val="20"/>
              </w:rPr>
              <w:t xml:space="preserve">Avances sobre la articulación de áreas </w:t>
            </w:r>
          </w:p>
          <w:p w:rsidR="00C25C75" w:rsidRPr="006A285D" w:rsidRDefault="00C25C75" w:rsidP="00746CFA">
            <w:pPr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C75" w:rsidRPr="006A285D" w:rsidRDefault="00C25C75" w:rsidP="00746CFA">
            <w:pPr>
              <w:jc w:val="left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C75" w:rsidRPr="006A285D" w:rsidRDefault="00C25C75" w:rsidP="00746CFA">
            <w:pPr>
              <w:jc w:val="left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75" w:rsidRPr="006A285D" w:rsidRDefault="00C25C75" w:rsidP="00746CFA">
            <w:pPr>
              <w:jc w:val="left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75" w:rsidRPr="006A285D" w:rsidRDefault="00C25C75" w:rsidP="00746CFA">
            <w:pPr>
              <w:jc w:val="left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</w:tr>
      <w:tr w:rsidR="00C25C75" w:rsidRPr="006A285D" w:rsidTr="00C25C75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75" w:rsidRPr="006A285D" w:rsidRDefault="00C25C75" w:rsidP="00746CFA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 w:rsidRPr="006A285D">
              <w:rPr>
                <w:sz w:val="20"/>
                <w:szCs w:val="20"/>
              </w:rPr>
              <w:t>Mayo 31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75" w:rsidRPr="006A285D" w:rsidRDefault="00C25C75" w:rsidP="00746CFA">
            <w:pPr>
              <w:rPr>
                <w:rFonts w:ascii="Arial" w:hAnsi="Arial"/>
                <w:sz w:val="20"/>
                <w:szCs w:val="20"/>
              </w:rPr>
            </w:pPr>
            <w:r w:rsidRPr="006A285D">
              <w:rPr>
                <w:sz w:val="20"/>
                <w:szCs w:val="20"/>
              </w:rPr>
              <w:t xml:space="preserve">Taller sobre uso de estrategias  de comprensión lectora </w:t>
            </w:r>
          </w:p>
          <w:p w:rsidR="00C25C75" w:rsidRPr="006A285D" w:rsidRDefault="00C25C75" w:rsidP="00746CFA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 w:rsidRPr="006A285D">
              <w:rPr>
                <w:sz w:val="20"/>
                <w:szCs w:val="20"/>
              </w:rPr>
              <w:t xml:space="preserve">Relación plan de estudio y modelo pedagógico </w:t>
            </w: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C75" w:rsidRPr="006A285D" w:rsidRDefault="00C25C75" w:rsidP="00746CFA">
            <w:pPr>
              <w:jc w:val="left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C75" w:rsidRPr="006A285D" w:rsidRDefault="00C25C75" w:rsidP="00746CFA">
            <w:pPr>
              <w:jc w:val="left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75" w:rsidRPr="006A285D" w:rsidRDefault="00C25C75" w:rsidP="00746CFA">
            <w:pPr>
              <w:jc w:val="left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75" w:rsidRPr="006A285D" w:rsidRDefault="00C25C75" w:rsidP="00746CFA">
            <w:pPr>
              <w:jc w:val="left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</w:tr>
      <w:tr w:rsidR="00C25C75" w:rsidRPr="006A285D" w:rsidTr="00C25C75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75" w:rsidRPr="006A285D" w:rsidRDefault="00C25C75" w:rsidP="00746CFA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 w:rsidRPr="006A285D">
              <w:rPr>
                <w:sz w:val="20"/>
                <w:szCs w:val="20"/>
              </w:rPr>
              <w:t>Julio 26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75" w:rsidRPr="006A285D" w:rsidRDefault="00C25C75" w:rsidP="00746CFA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 w:rsidRPr="006A285D">
              <w:rPr>
                <w:sz w:val="20"/>
                <w:szCs w:val="20"/>
              </w:rPr>
              <w:t>Taller sobre la formulación de preguntas ICFES</w:t>
            </w: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C75" w:rsidRPr="006A285D" w:rsidRDefault="00C25C75" w:rsidP="00746CFA">
            <w:pPr>
              <w:jc w:val="left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C75" w:rsidRPr="006A285D" w:rsidRDefault="00C25C75" w:rsidP="00746CFA">
            <w:pPr>
              <w:jc w:val="left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75" w:rsidRPr="006A285D" w:rsidRDefault="00C25C75" w:rsidP="00746CFA">
            <w:pPr>
              <w:jc w:val="left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75" w:rsidRPr="006A285D" w:rsidRDefault="00C25C75" w:rsidP="00746CFA">
            <w:pPr>
              <w:jc w:val="left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</w:tr>
      <w:tr w:rsidR="00C25C75" w:rsidRPr="006A285D" w:rsidTr="00C25C75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75" w:rsidRPr="006A285D" w:rsidRDefault="00C25C75" w:rsidP="00746CFA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 w:rsidRPr="006A285D">
              <w:rPr>
                <w:sz w:val="20"/>
                <w:szCs w:val="20"/>
              </w:rPr>
              <w:t xml:space="preserve">Agosto 30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75" w:rsidRPr="006A285D" w:rsidRDefault="00C25C75" w:rsidP="00746CFA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 w:rsidRPr="006A285D">
              <w:rPr>
                <w:sz w:val="20"/>
                <w:szCs w:val="20"/>
              </w:rPr>
              <w:t xml:space="preserve">Taller sobre estándares y competencias </w:t>
            </w: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C75" w:rsidRPr="006A285D" w:rsidRDefault="00C25C75" w:rsidP="00746CFA">
            <w:pPr>
              <w:jc w:val="left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C75" w:rsidRPr="006A285D" w:rsidRDefault="00C25C75" w:rsidP="00746CFA">
            <w:pPr>
              <w:jc w:val="left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75" w:rsidRPr="006A285D" w:rsidRDefault="00C25C75" w:rsidP="00746CFA">
            <w:pPr>
              <w:jc w:val="left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75" w:rsidRPr="006A285D" w:rsidRDefault="00C25C75" w:rsidP="00746CFA">
            <w:pPr>
              <w:jc w:val="left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</w:tr>
      <w:tr w:rsidR="00C25C75" w:rsidRPr="006A285D" w:rsidTr="00C25C75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75" w:rsidRPr="006A285D" w:rsidRDefault="00C25C75" w:rsidP="00746CFA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 w:rsidRPr="006A285D">
              <w:rPr>
                <w:sz w:val="20"/>
                <w:szCs w:val="20"/>
              </w:rPr>
              <w:t>Noviembre 29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75" w:rsidRPr="006A285D" w:rsidRDefault="00C25C75" w:rsidP="00746CFA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 w:rsidRPr="006A285D">
              <w:rPr>
                <w:sz w:val="20"/>
                <w:szCs w:val="20"/>
              </w:rPr>
              <w:t xml:space="preserve">Evaluación de resultados </w:t>
            </w: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C75" w:rsidRPr="006A285D" w:rsidRDefault="00C25C75" w:rsidP="00746CFA">
            <w:pPr>
              <w:jc w:val="left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C75" w:rsidRPr="006A285D" w:rsidRDefault="00C25C75" w:rsidP="00746CFA">
            <w:pPr>
              <w:jc w:val="left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75" w:rsidRPr="006A285D" w:rsidRDefault="00C25C75" w:rsidP="00746CFA">
            <w:pPr>
              <w:jc w:val="left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75" w:rsidRPr="006A285D" w:rsidRDefault="00C25C75" w:rsidP="00746CFA">
            <w:pPr>
              <w:jc w:val="left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</w:tr>
    </w:tbl>
    <w:p w:rsidR="00523590" w:rsidRPr="00CC112B" w:rsidRDefault="00523590" w:rsidP="00523590">
      <w:pPr>
        <w:ind w:left="720"/>
        <w:jc w:val="center"/>
      </w:pPr>
    </w:p>
    <w:p w:rsidR="00523590" w:rsidRDefault="00523590" w:rsidP="00CC112B">
      <w:pPr>
        <w:ind w:left="720"/>
        <w:jc w:val="center"/>
      </w:pPr>
    </w:p>
    <w:p w:rsidR="00C25C75" w:rsidRDefault="00C25C75">
      <w:pPr>
        <w:spacing w:after="200" w:line="276" w:lineRule="auto"/>
        <w:jc w:val="left"/>
      </w:pPr>
      <w:r>
        <w:br w:type="page"/>
      </w:r>
    </w:p>
    <w:p w:rsidR="00CC112B" w:rsidRPr="00CC112B" w:rsidRDefault="00B10EDF" w:rsidP="00040800">
      <w:pPr>
        <w:pStyle w:val="Ttulo1"/>
      </w:pPr>
      <w:r>
        <w:lastRenderedPageBreak/>
        <w:t xml:space="preserve">INFORME SOBRE EL </w:t>
      </w:r>
      <w:r w:rsidRPr="00CC112B">
        <w:t>DESARROLLO DEL PROYECTO DE COMPRENSIÓN DE LECTURA</w:t>
      </w:r>
      <w:r>
        <w:t xml:space="preserve"> AÑO LECTIVO 2013</w:t>
      </w:r>
    </w:p>
    <w:p w:rsidR="00CC112B" w:rsidRDefault="00CC112B" w:rsidP="00CC112B">
      <w:pPr>
        <w:ind w:left="720"/>
        <w:rPr>
          <w:b/>
        </w:rPr>
      </w:pPr>
    </w:p>
    <w:p w:rsidR="00F516C5" w:rsidRDefault="00F516C5" w:rsidP="00CC112B">
      <w:pPr>
        <w:ind w:left="720"/>
      </w:pPr>
    </w:p>
    <w:p w:rsidR="00CC112B" w:rsidRDefault="00CC112B" w:rsidP="00CC112B">
      <w:pPr>
        <w:ind w:left="720"/>
        <w:rPr>
          <w:b/>
        </w:rPr>
      </w:pPr>
      <w:r>
        <w:t xml:space="preserve">Introducción </w:t>
      </w:r>
    </w:p>
    <w:p w:rsidR="00DD6A99" w:rsidRDefault="00DD6A99" w:rsidP="00CC112B">
      <w:pPr>
        <w:ind w:left="720"/>
        <w:rPr>
          <w:b/>
        </w:rPr>
      </w:pPr>
    </w:p>
    <w:p w:rsidR="00C86F28" w:rsidRDefault="00DD6A99" w:rsidP="00CC112B">
      <w:pPr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Las falencias de los estudiantes en sus procesos de lectura y escritura </w:t>
      </w:r>
      <w:r w:rsidR="00C86F28">
        <w:rPr>
          <w:rFonts w:ascii="Arial" w:hAnsi="Arial" w:cs="Arial"/>
          <w:bCs/>
        </w:rPr>
        <w:t>inciden directamente en su</w:t>
      </w:r>
      <w:r>
        <w:rPr>
          <w:rFonts w:ascii="Arial" w:hAnsi="Arial" w:cs="Arial"/>
          <w:bCs/>
        </w:rPr>
        <w:t xml:space="preserve"> desempeño académico y en sus expectativas de vida</w:t>
      </w:r>
      <w:r w:rsidR="00C86F28">
        <w:rPr>
          <w:rFonts w:ascii="Arial" w:hAnsi="Arial" w:cs="Arial"/>
          <w:bCs/>
        </w:rPr>
        <w:t xml:space="preserve">. Leer y escribir bien son actividades determinante en el desempeño profesional de las personas e indispensables en el aprendizaje de cualquier conocimiento. </w:t>
      </w:r>
      <w:r>
        <w:rPr>
          <w:rFonts w:ascii="Arial" w:hAnsi="Arial" w:cs="Arial"/>
          <w:bCs/>
        </w:rPr>
        <w:t xml:space="preserve"> </w:t>
      </w:r>
    </w:p>
    <w:p w:rsidR="00C86F28" w:rsidRDefault="00C86F28" w:rsidP="00CC112B">
      <w:pPr>
        <w:ind w:left="720"/>
        <w:rPr>
          <w:rFonts w:ascii="Arial" w:hAnsi="Arial" w:cs="Arial"/>
          <w:b/>
          <w:bCs/>
        </w:rPr>
      </w:pPr>
    </w:p>
    <w:p w:rsidR="00DD6A99" w:rsidRDefault="00C86F28" w:rsidP="00CC112B">
      <w:pPr>
        <w:ind w:left="720"/>
        <w:rPr>
          <w:b/>
        </w:rPr>
      </w:pPr>
      <w:r>
        <w:rPr>
          <w:rFonts w:ascii="Arial" w:hAnsi="Arial" w:cs="Arial"/>
          <w:bCs/>
        </w:rPr>
        <w:t>En Colombia el ICFES es la entidad encargada del diseño de las d</w:t>
      </w:r>
      <w:r w:rsidR="003053BE">
        <w:rPr>
          <w:rFonts w:ascii="Arial" w:hAnsi="Arial" w:cs="Arial"/>
          <w:bCs/>
        </w:rPr>
        <w:t xml:space="preserve">iversas pruebas, </w:t>
      </w:r>
      <w:r>
        <w:rPr>
          <w:rFonts w:ascii="Arial" w:hAnsi="Arial" w:cs="Arial"/>
          <w:bCs/>
        </w:rPr>
        <w:t xml:space="preserve">las cuales se basan en un alto contenido de comprensión lectora. A estas pruebas se enfrentan las personas que aspiran a cargos otorgados mediante concurso de méritos, y en el  caso de los estudiantes tienen que afrontar las pruebas </w:t>
      </w:r>
      <w:r w:rsidR="00DD6A99">
        <w:rPr>
          <w:rFonts w:ascii="Arial" w:hAnsi="Arial" w:cs="Arial"/>
          <w:bCs/>
        </w:rPr>
        <w:t>SABER</w:t>
      </w:r>
      <w:r>
        <w:rPr>
          <w:rFonts w:ascii="Arial" w:hAnsi="Arial" w:cs="Arial"/>
          <w:bCs/>
        </w:rPr>
        <w:t xml:space="preserve"> en los niveles de primaria, secundaria y media.</w:t>
      </w:r>
    </w:p>
    <w:p w:rsidR="00C86F28" w:rsidRDefault="00C86F28" w:rsidP="00CC112B">
      <w:pPr>
        <w:ind w:left="720"/>
        <w:rPr>
          <w:b/>
        </w:rPr>
      </w:pPr>
    </w:p>
    <w:p w:rsidR="0056763E" w:rsidRDefault="0056763E" w:rsidP="0056763E">
      <w:pPr>
        <w:ind w:left="720"/>
        <w:rPr>
          <w:b/>
        </w:rPr>
      </w:pPr>
      <w:r>
        <w:t>Con el objetivo de coadyuvar al mejoramiento de las falencias de los estudiantes en lectura y escritura, se diseñó una estrategia transversal para ser implementada en el año lectivo 2013 mediante la concertación de las siguientes acciones:</w:t>
      </w:r>
      <w:r w:rsidR="005E49F8">
        <w:t xml:space="preserve"> adecuación de </w:t>
      </w:r>
      <w:r>
        <w:t>un espacio de lectura en la institución</w:t>
      </w:r>
      <w:r w:rsidR="005E49F8">
        <w:t>, implementación</w:t>
      </w:r>
      <w:r>
        <w:t xml:space="preserve"> una metodología de trabajo mediante la unificación de criterios entre los docentes </w:t>
      </w:r>
      <w:r w:rsidR="005E49F8">
        <w:t xml:space="preserve">y </w:t>
      </w:r>
      <w:r>
        <w:t>la selección y adquisición del material didáctico adecuado</w:t>
      </w:r>
      <w:r w:rsidR="005E49F8">
        <w:t>.</w:t>
      </w:r>
    </w:p>
    <w:p w:rsidR="0056763E" w:rsidRDefault="0056763E" w:rsidP="00CC112B">
      <w:pPr>
        <w:ind w:left="720"/>
        <w:rPr>
          <w:b/>
        </w:rPr>
      </w:pPr>
    </w:p>
    <w:p w:rsidR="005E49F8" w:rsidRDefault="005E49F8" w:rsidP="00CC112B">
      <w:pPr>
        <w:ind w:left="720"/>
        <w:rPr>
          <w:b/>
        </w:rPr>
      </w:pPr>
    </w:p>
    <w:p w:rsidR="00CC112B" w:rsidRDefault="00CC112B" w:rsidP="00CC112B">
      <w:pPr>
        <w:ind w:left="720"/>
        <w:rPr>
          <w:b/>
        </w:rPr>
      </w:pPr>
      <w:r>
        <w:t xml:space="preserve">Metodología </w:t>
      </w:r>
    </w:p>
    <w:p w:rsidR="0056763E" w:rsidRDefault="0056763E" w:rsidP="00CC112B">
      <w:pPr>
        <w:ind w:left="720"/>
        <w:rPr>
          <w:b/>
        </w:rPr>
      </w:pPr>
    </w:p>
    <w:p w:rsidR="00CC112B" w:rsidRDefault="005E49F8" w:rsidP="00CC112B">
      <w:pPr>
        <w:ind w:left="720"/>
        <w:rPr>
          <w:b/>
        </w:rPr>
      </w:pPr>
      <w:r>
        <w:t xml:space="preserve">Para la implementación de la propuesta se hizo la socialización de la misma en Consejo Académico </w:t>
      </w:r>
      <w:r w:rsidR="001F17DD">
        <w:t>donde se definieron algunas estrategias unificadas como la hora de lectura y la utilización permanente de</w:t>
      </w:r>
      <w:r w:rsidR="006A54E9">
        <w:t xml:space="preserve"> los </w:t>
      </w:r>
      <w:r w:rsidR="001F17DD">
        <w:t xml:space="preserve">textos acompañados de talleres para la comprensión textual. Además </w:t>
      </w:r>
      <w:r>
        <w:t xml:space="preserve">se responsabilizó a los docentes  del área de Humanidades para </w:t>
      </w:r>
      <w:r w:rsidR="001F17DD">
        <w:t>supervisión y control de la propuesta.</w:t>
      </w:r>
    </w:p>
    <w:p w:rsidR="005E49F8" w:rsidRDefault="005E49F8" w:rsidP="00CC112B">
      <w:pPr>
        <w:ind w:left="720"/>
        <w:rPr>
          <w:b/>
        </w:rPr>
      </w:pPr>
    </w:p>
    <w:p w:rsidR="005E49F8" w:rsidRDefault="005E49F8" w:rsidP="00CC112B">
      <w:pPr>
        <w:ind w:left="720"/>
        <w:rPr>
          <w:b/>
        </w:rPr>
      </w:pPr>
      <w:r>
        <w:t xml:space="preserve">Resultados </w:t>
      </w:r>
    </w:p>
    <w:p w:rsidR="005E49F8" w:rsidRDefault="005E49F8" w:rsidP="00CC112B">
      <w:pPr>
        <w:ind w:left="720"/>
        <w:rPr>
          <w:b/>
        </w:rPr>
      </w:pPr>
    </w:p>
    <w:p w:rsidR="005E49F8" w:rsidRDefault="005E49F8" w:rsidP="00CC112B">
      <w:pPr>
        <w:ind w:left="720"/>
        <w:rPr>
          <w:b/>
        </w:rPr>
      </w:pPr>
      <w:r>
        <w:lastRenderedPageBreak/>
        <w:t>Los resultados esperados se miden de acuerdo a las acciones definidas:</w:t>
      </w:r>
    </w:p>
    <w:p w:rsidR="00274111" w:rsidRPr="002C3491" w:rsidRDefault="005E49F8" w:rsidP="002C3491">
      <w:pPr>
        <w:pStyle w:val="Prrafodelista"/>
        <w:numPr>
          <w:ilvl w:val="0"/>
          <w:numId w:val="3"/>
        </w:numPr>
      </w:pPr>
      <w:r w:rsidRPr="002C3491">
        <w:t>Adecuación del sitio. Hasta</w:t>
      </w:r>
      <w:r w:rsidR="009015AF" w:rsidRPr="002C3491">
        <w:t xml:space="preserve"> el momento no se ha podido avanzar en este propósito </w:t>
      </w:r>
    </w:p>
    <w:p w:rsidR="002C3491" w:rsidRPr="002C3491" w:rsidRDefault="002C3491" w:rsidP="002C3491">
      <w:pPr>
        <w:pStyle w:val="Prrafodelista"/>
        <w:numPr>
          <w:ilvl w:val="0"/>
          <w:numId w:val="3"/>
        </w:numPr>
      </w:pPr>
      <w:r w:rsidRPr="002C3491">
        <w:t>Definición de las estrategias a emplear</w:t>
      </w:r>
    </w:p>
    <w:p w:rsidR="002C3491" w:rsidRPr="002C3491" w:rsidRDefault="002C3491" w:rsidP="002C3491">
      <w:pPr>
        <w:pStyle w:val="Prrafodelista"/>
        <w:numPr>
          <w:ilvl w:val="0"/>
          <w:numId w:val="3"/>
        </w:numPr>
      </w:pPr>
      <w:r w:rsidRPr="002C3491">
        <w:t>Adquisición y selección del material didáctico adecuado</w:t>
      </w:r>
    </w:p>
    <w:p w:rsidR="002C3491" w:rsidRPr="002C3491" w:rsidRDefault="002C3491" w:rsidP="002C3491">
      <w:pPr>
        <w:pStyle w:val="Prrafodelista"/>
        <w:numPr>
          <w:ilvl w:val="0"/>
          <w:numId w:val="3"/>
        </w:numPr>
      </w:pPr>
      <w:r w:rsidRPr="002C3491">
        <w:t>Elaboración del reglamento, horarios y condiciones de uso.</w:t>
      </w:r>
    </w:p>
    <w:p w:rsidR="002C3491" w:rsidRDefault="002C3491" w:rsidP="002C3491">
      <w:pPr>
        <w:pStyle w:val="Prrafodelista"/>
        <w:ind w:left="1080"/>
        <w:rPr>
          <w:b/>
        </w:rPr>
      </w:pPr>
    </w:p>
    <w:p w:rsidR="002C3491" w:rsidRDefault="002C3491" w:rsidP="002C3491">
      <w:pPr>
        <w:pStyle w:val="Prrafodelista"/>
        <w:ind w:left="1080"/>
        <w:rPr>
          <w:b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653"/>
        <w:gridCol w:w="1620"/>
        <w:gridCol w:w="1378"/>
        <w:gridCol w:w="1431"/>
        <w:gridCol w:w="1655"/>
      </w:tblGrid>
      <w:tr w:rsidR="00031462" w:rsidTr="00031462">
        <w:tc>
          <w:tcPr>
            <w:tcW w:w="653" w:type="dxa"/>
          </w:tcPr>
          <w:p w:rsidR="00031462" w:rsidRDefault="00031462" w:rsidP="002C3491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1620" w:type="dxa"/>
          </w:tcPr>
          <w:p w:rsidR="00031462" w:rsidRDefault="00031462" w:rsidP="002C3491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1328" w:type="dxa"/>
          </w:tcPr>
          <w:p w:rsidR="00031462" w:rsidRDefault="00031462" w:rsidP="002C3491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1431" w:type="dxa"/>
          </w:tcPr>
          <w:p w:rsidR="00031462" w:rsidRDefault="00031462" w:rsidP="002C3491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652" w:type="dxa"/>
          </w:tcPr>
          <w:p w:rsidR="00031462" w:rsidRDefault="00031462" w:rsidP="002C3491">
            <w:pPr>
              <w:pStyle w:val="Prrafodelista"/>
              <w:ind w:left="0"/>
              <w:rPr>
                <w:b/>
              </w:rPr>
            </w:pPr>
          </w:p>
        </w:tc>
      </w:tr>
      <w:tr w:rsidR="00031462" w:rsidTr="00031462">
        <w:tc>
          <w:tcPr>
            <w:tcW w:w="653" w:type="dxa"/>
          </w:tcPr>
          <w:p w:rsidR="00031462" w:rsidRDefault="00031462" w:rsidP="002C3491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1620" w:type="dxa"/>
          </w:tcPr>
          <w:p w:rsidR="00031462" w:rsidRDefault="00031462" w:rsidP="002C3491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 xml:space="preserve">Actividad </w:t>
            </w:r>
          </w:p>
        </w:tc>
        <w:tc>
          <w:tcPr>
            <w:tcW w:w="1328" w:type="dxa"/>
          </w:tcPr>
          <w:p w:rsidR="00031462" w:rsidRDefault="00031462" w:rsidP="002C3491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 xml:space="preserve">Realizada </w:t>
            </w:r>
          </w:p>
        </w:tc>
        <w:tc>
          <w:tcPr>
            <w:tcW w:w="1431" w:type="dxa"/>
          </w:tcPr>
          <w:p w:rsidR="00031462" w:rsidRDefault="00031462" w:rsidP="002C3491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 xml:space="preserve">Porcentaje </w:t>
            </w:r>
          </w:p>
        </w:tc>
        <w:tc>
          <w:tcPr>
            <w:tcW w:w="652" w:type="dxa"/>
          </w:tcPr>
          <w:p w:rsidR="00031462" w:rsidRDefault="00031462" w:rsidP="002C3491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 xml:space="preserve">Observación </w:t>
            </w:r>
          </w:p>
        </w:tc>
      </w:tr>
      <w:tr w:rsidR="00031462" w:rsidTr="00031462">
        <w:tc>
          <w:tcPr>
            <w:tcW w:w="653" w:type="dxa"/>
          </w:tcPr>
          <w:p w:rsidR="00031462" w:rsidRDefault="00031462" w:rsidP="002C3491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1620" w:type="dxa"/>
          </w:tcPr>
          <w:p w:rsidR="00031462" w:rsidRDefault="00031462" w:rsidP="002C3491">
            <w:pPr>
              <w:pStyle w:val="Prrafodelista"/>
              <w:ind w:left="0"/>
              <w:rPr>
                <w:b/>
              </w:rPr>
            </w:pPr>
            <w:r w:rsidRPr="002C3491">
              <w:t>Adecuación del sitio</w:t>
            </w:r>
          </w:p>
        </w:tc>
        <w:tc>
          <w:tcPr>
            <w:tcW w:w="1328" w:type="dxa"/>
          </w:tcPr>
          <w:p w:rsidR="00031462" w:rsidRDefault="00D11071" w:rsidP="002C3491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431" w:type="dxa"/>
          </w:tcPr>
          <w:p w:rsidR="00031462" w:rsidRDefault="00031462" w:rsidP="002C3491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652" w:type="dxa"/>
          </w:tcPr>
          <w:p w:rsidR="00031462" w:rsidRDefault="00761344" w:rsidP="002C3491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 xml:space="preserve">No hay espacio físico </w:t>
            </w:r>
          </w:p>
        </w:tc>
      </w:tr>
      <w:tr w:rsidR="00031462" w:rsidTr="00031462">
        <w:tc>
          <w:tcPr>
            <w:tcW w:w="653" w:type="dxa"/>
          </w:tcPr>
          <w:p w:rsidR="00031462" w:rsidRDefault="00031462" w:rsidP="002C3491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1620" w:type="dxa"/>
          </w:tcPr>
          <w:p w:rsidR="00031462" w:rsidRPr="002C3491" w:rsidRDefault="00031462" w:rsidP="00031462">
            <w:r w:rsidRPr="002C3491">
              <w:t>Definición de las estrategias a emplear</w:t>
            </w:r>
          </w:p>
          <w:p w:rsidR="00031462" w:rsidRDefault="00031462" w:rsidP="002C3491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1328" w:type="dxa"/>
          </w:tcPr>
          <w:p w:rsidR="00031462" w:rsidRDefault="00D11071" w:rsidP="002C3491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1431" w:type="dxa"/>
          </w:tcPr>
          <w:p w:rsidR="00031462" w:rsidRDefault="00031462" w:rsidP="002C3491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652" w:type="dxa"/>
          </w:tcPr>
          <w:p w:rsidR="00031462" w:rsidRDefault="00031462" w:rsidP="002C3491">
            <w:pPr>
              <w:pStyle w:val="Prrafodelista"/>
              <w:ind w:left="0"/>
              <w:rPr>
                <w:b/>
              </w:rPr>
            </w:pPr>
          </w:p>
        </w:tc>
      </w:tr>
      <w:tr w:rsidR="00031462" w:rsidTr="00031462">
        <w:trPr>
          <w:trHeight w:val="250"/>
        </w:trPr>
        <w:tc>
          <w:tcPr>
            <w:tcW w:w="653" w:type="dxa"/>
          </w:tcPr>
          <w:p w:rsidR="00031462" w:rsidRDefault="00031462" w:rsidP="002C3491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1620" w:type="dxa"/>
          </w:tcPr>
          <w:p w:rsidR="00031462" w:rsidRPr="002C3491" w:rsidRDefault="00031462" w:rsidP="00031462">
            <w:r w:rsidRPr="002C3491">
              <w:t>Adquisición y selección del material didáctico adecuado</w:t>
            </w:r>
          </w:p>
          <w:p w:rsidR="00031462" w:rsidRDefault="00031462" w:rsidP="002C3491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1328" w:type="dxa"/>
          </w:tcPr>
          <w:p w:rsidR="00031462" w:rsidRDefault="00761344" w:rsidP="002C3491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pendiente</w:t>
            </w:r>
          </w:p>
        </w:tc>
        <w:tc>
          <w:tcPr>
            <w:tcW w:w="1431" w:type="dxa"/>
          </w:tcPr>
          <w:p w:rsidR="00031462" w:rsidRDefault="00031462" w:rsidP="002C3491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652" w:type="dxa"/>
          </w:tcPr>
          <w:p w:rsidR="00031462" w:rsidRDefault="00D11071" w:rsidP="002C3491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Se hizo individual aunque cuenta bastante material</w:t>
            </w:r>
          </w:p>
        </w:tc>
      </w:tr>
      <w:tr w:rsidR="00031462" w:rsidTr="00031462">
        <w:tc>
          <w:tcPr>
            <w:tcW w:w="653" w:type="dxa"/>
          </w:tcPr>
          <w:p w:rsidR="00031462" w:rsidRDefault="00031462" w:rsidP="002C3491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1620" w:type="dxa"/>
          </w:tcPr>
          <w:p w:rsidR="00031462" w:rsidRDefault="00031462" w:rsidP="00761344">
            <w:pPr>
              <w:rPr>
                <w:b/>
              </w:rPr>
            </w:pPr>
          </w:p>
        </w:tc>
        <w:tc>
          <w:tcPr>
            <w:tcW w:w="1328" w:type="dxa"/>
          </w:tcPr>
          <w:p w:rsidR="00031462" w:rsidRDefault="00031462" w:rsidP="002C3491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1431" w:type="dxa"/>
          </w:tcPr>
          <w:p w:rsidR="00031462" w:rsidRDefault="00031462" w:rsidP="002C3491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652" w:type="dxa"/>
          </w:tcPr>
          <w:p w:rsidR="00031462" w:rsidRDefault="00031462" w:rsidP="002C3491">
            <w:pPr>
              <w:pStyle w:val="Prrafodelista"/>
              <w:ind w:left="0"/>
              <w:rPr>
                <w:b/>
              </w:rPr>
            </w:pPr>
          </w:p>
        </w:tc>
      </w:tr>
      <w:tr w:rsidR="00031462" w:rsidTr="00031462">
        <w:tc>
          <w:tcPr>
            <w:tcW w:w="653" w:type="dxa"/>
          </w:tcPr>
          <w:p w:rsidR="00031462" w:rsidRDefault="00031462" w:rsidP="002C3491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1620" w:type="dxa"/>
          </w:tcPr>
          <w:p w:rsidR="00031462" w:rsidRPr="002C3491" w:rsidRDefault="00031462" w:rsidP="00031462">
            <w:r w:rsidRPr="002C3491">
              <w:t>Elaboración del reglamento, horarios y condiciones de uso.</w:t>
            </w:r>
          </w:p>
          <w:p w:rsidR="00031462" w:rsidRPr="002C3491" w:rsidRDefault="00031462" w:rsidP="00031462"/>
        </w:tc>
        <w:tc>
          <w:tcPr>
            <w:tcW w:w="1328" w:type="dxa"/>
          </w:tcPr>
          <w:p w:rsidR="00031462" w:rsidRDefault="00761344" w:rsidP="002C3491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 xml:space="preserve">No </w:t>
            </w:r>
          </w:p>
        </w:tc>
        <w:tc>
          <w:tcPr>
            <w:tcW w:w="1431" w:type="dxa"/>
          </w:tcPr>
          <w:p w:rsidR="00031462" w:rsidRDefault="00031462" w:rsidP="002C3491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652" w:type="dxa"/>
          </w:tcPr>
          <w:p w:rsidR="00031462" w:rsidRDefault="00031462" w:rsidP="002C3491">
            <w:pPr>
              <w:pStyle w:val="Prrafodelista"/>
              <w:ind w:left="0"/>
              <w:rPr>
                <w:b/>
              </w:rPr>
            </w:pPr>
          </w:p>
        </w:tc>
      </w:tr>
    </w:tbl>
    <w:p w:rsidR="002C3491" w:rsidRDefault="002C3491" w:rsidP="002C3491">
      <w:pPr>
        <w:pStyle w:val="Prrafodelista"/>
        <w:ind w:left="1080"/>
        <w:rPr>
          <w:b/>
        </w:rPr>
      </w:pPr>
    </w:p>
    <w:p w:rsidR="00274111" w:rsidRDefault="00274111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274111" w:rsidRDefault="00274111" w:rsidP="00274111">
      <w:pPr>
        <w:pStyle w:val="Prrafodelista"/>
        <w:ind w:left="1080"/>
        <w:rPr>
          <w:b/>
        </w:rPr>
        <w:sectPr w:rsidR="00274111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5E49F8" w:rsidRDefault="005E49F8" w:rsidP="00274111">
      <w:pPr>
        <w:pStyle w:val="Prrafodelista"/>
        <w:ind w:left="1080"/>
        <w:rPr>
          <w:b/>
        </w:rPr>
      </w:pPr>
    </w:p>
    <w:p w:rsidR="005E49F8" w:rsidRPr="005E49F8" w:rsidRDefault="005E49F8" w:rsidP="005E49F8">
      <w:pPr>
        <w:rPr>
          <w:b/>
        </w:rPr>
      </w:pPr>
    </w:p>
    <w:tbl>
      <w:tblPr>
        <w:tblStyle w:val="Tablaconcuadrcula"/>
        <w:tblW w:w="14130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089"/>
        <w:gridCol w:w="8222"/>
        <w:gridCol w:w="1843"/>
        <w:gridCol w:w="1701"/>
        <w:gridCol w:w="1275"/>
      </w:tblGrid>
      <w:tr w:rsidR="00C517DA" w:rsidRPr="00996E66" w:rsidTr="00E10E5D">
        <w:tc>
          <w:tcPr>
            <w:tcW w:w="1089" w:type="dxa"/>
          </w:tcPr>
          <w:p w:rsidR="00C517DA" w:rsidRPr="00996E66" w:rsidRDefault="00C517DA" w:rsidP="00CC112B">
            <w:pPr>
              <w:rPr>
                <w:b/>
                <w:sz w:val="20"/>
                <w:szCs w:val="20"/>
              </w:rPr>
            </w:pPr>
          </w:p>
        </w:tc>
        <w:tc>
          <w:tcPr>
            <w:tcW w:w="8222" w:type="dxa"/>
          </w:tcPr>
          <w:p w:rsidR="00C517DA" w:rsidRPr="00996E66" w:rsidRDefault="00C517DA" w:rsidP="00CC112B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C517DA" w:rsidRPr="00996E66" w:rsidRDefault="00C517DA" w:rsidP="00CC112B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517DA" w:rsidRPr="00996E66" w:rsidRDefault="00C517DA" w:rsidP="00CC112B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C517DA" w:rsidRPr="00996E66" w:rsidRDefault="00C517DA" w:rsidP="00CC112B">
            <w:pPr>
              <w:rPr>
                <w:b/>
                <w:sz w:val="20"/>
                <w:szCs w:val="20"/>
              </w:rPr>
            </w:pPr>
          </w:p>
        </w:tc>
      </w:tr>
      <w:tr w:rsidR="00C517DA" w:rsidRPr="00996E66" w:rsidTr="00E10E5D">
        <w:tc>
          <w:tcPr>
            <w:tcW w:w="1089" w:type="dxa"/>
          </w:tcPr>
          <w:p w:rsidR="00C517DA" w:rsidRPr="00996E66" w:rsidRDefault="00C517DA" w:rsidP="00CC112B">
            <w:pPr>
              <w:rPr>
                <w:b/>
                <w:sz w:val="20"/>
                <w:szCs w:val="20"/>
              </w:rPr>
            </w:pPr>
            <w:r w:rsidRPr="00996E66">
              <w:rPr>
                <w:sz w:val="20"/>
                <w:szCs w:val="20"/>
              </w:rPr>
              <w:t xml:space="preserve">Nivel </w:t>
            </w:r>
          </w:p>
        </w:tc>
        <w:tc>
          <w:tcPr>
            <w:tcW w:w="8222" w:type="dxa"/>
          </w:tcPr>
          <w:p w:rsidR="00C517DA" w:rsidRPr="00996E66" w:rsidRDefault="00C517DA" w:rsidP="00CC112B">
            <w:pPr>
              <w:rPr>
                <w:b/>
                <w:sz w:val="20"/>
                <w:szCs w:val="20"/>
              </w:rPr>
            </w:pPr>
            <w:r w:rsidRPr="00996E66">
              <w:rPr>
                <w:sz w:val="20"/>
                <w:szCs w:val="20"/>
              </w:rPr>
              <w:t xml:space="preserve">Actividades desarrolladas o estrategias aplicadas </w:t>
            </w:r>
          </w:p>
        </w:tc>
        <w:tc>
          <w:tcPr>
            <w:tcW w:w="1843" w:type="dxa"/>
          </w:tcPr>
          <w:p w:rsidR="00C517DA" w:rsidRPr="00996E66" w:rsidRDefault="00C517DA" w:rsidP="00CC112B">
            <w:pPr>
              <w:rPr>
                <w:b/>
                <w:sz w:val="20"/>
                <w:szCs w:val="20"/>
              </w:rPr>
            </w:pPr>
            <w:r w:rsidRPr="00996E66">
              <w:rPr>
                <w:sz w:val="20"/>
                <w:szCs w:val="20"/>
              </w:rPr>
              <w:t xml:space="preserve">Fortalezas </w:t>
            </w:r>
          </w:p>
        </w:tc>
        <w:tc>
          <w:tcPr>
            <w:tcW w:w="1701" w:type="dxa"/>
          </w:tcPr>
          <w:p w:rsidR="00C517DA" w:rsidRPr="00996E66" w:rsidRDefault="00C517DA" w:rsidP="00CC112B">
            <w:pPr>
              <w:rPr>
                <w:b/>
                <w:sz w:val="20"/>
                <w:szCs w:val="20"/>
              </w:rPr>
            </w:pPr>
            <w:r w:rsidRPr="00996E66">
              <w:rPr>
                <w:sz w:val="20"/>
                <w:szCs w:val="20"/>
              </w:rPr>
              <w:t xml:space="preserve">Debilidades </w:t>
            </w:r>
          </w:p>
        </w:tc>
        <w:tc>
          <w:tcPr>
            <w:tcW w:w="1275" w:type="dxa"/>
          </w:tcPr>
          <w:p w:rsidR="00C517DA" w:rsidRPr="00996E66" w:rsidRDefault="00C517DA" w:rsidP="00CC112B">
            <w:pPr>
              <w:rPr>
                <w:b/>
                <w:sz w:val="20"/>
                <w:szCs w:val="20"/>
              </w:rPr>
            </w:pPr>
            <w:r w:rsidRPr="00996E66">
              <w:rPr>
                <w:sz w:val="20"/>
                <w:szCs w:val="20"/>
              </w:rPr>
              <w:t xml:space="preserve">Recursos </w:t>
            </w:r>
          </w:p>
        </w:tc>
      </w:tr>
      <w:tr w:rsidR="00C517DA" w:rsidRPr="00996E66" w:rsidTr="00E10E5D">
        <w:tc>
          <w:tcPr>
            <w:tcW w:w="1089" w:type="dxa"/>
          </w:tcPr>
          <w:p w:rsidR="00C517DA" w:rsidRPr="00996E66" w:rsidRDefault="00C517DA" w:rsidP="00CC112B">
            <w:pPr>
              <w:rPr>
                <w:b/>
                <w:sz w:val="20"/>
                <w:szCs w:val="20"/>
              </w:rPr>
            </w:pPr>
          </w:p>
        </w:tc>
        <w:tc>
          <w:tcPr>
            <w:tcW w:w="8222" w:type="dxa"/>
          </w:tcPr>
          <w:p w:rsidR="00C517DA" w:rsidRPr="00996E66" w:rsidRDefault="00C517DA" w:rsidP="00CC112B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C517DA" w:rsidRPr="00996E66" w:rsidRDefault="00C517DA" w:rsidP="00CC112B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517DA" w:rsidRPr="00996E66" w:rsidRDefault="00C517DA" w:rsidP="00CC112B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C517DA" w:rsidRPr="00996E66" w:rsidRDefault="00C517DA" w:rsidP="00CC112B">
            <w:pPr>
              <w:rPr>
                <w:b/>
                <w:sz w:val="20"/>
                <w:szCs w:val="20"/>
              </w:rPr>
            </w:pPr>
          </w:p>
        </w:tc>
      </w:tr>
      <w:tr w:rsidR="00C517DA" w:rsidRPr="00996E66" w:rsidTr="00E10E5D">
        <w:tc>
          <w:tcPr>
            <w:tcW w:w="1089" w:type="dxa"/>
          </w:tcPr>
          <w:p w:rsidR="00C517DA" w:rsidRPr="00996E66" w:rsidRDefault="00C517DA" w:rsidP="00CC112B">
            <w:pPr>
              <w:rPr>
                <w:b/>
                <w:sz w:val="20"/>
                <w:szCs w:val="20"/>
              </w:rPr>
            </w:pPr>
          </w:p>
        </w:tc>
        <w:tc>
          <w:tcPr>
            <w:tcW w:w="8222" w:type="dxa"/>
          </w:tcPr>
          <w:p w:rsidR="00C517DA" w:rsidRPr="00996E66" w:rsidRDefault="00C517DA" w:rsidP="00CC112B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C517DA" w:rsidRPr="00996E66" w:rsidRDefault="00C517DA" w:rsidP="00CC112B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517DA" w:rsidRPr="00996E66" w:rsidRDefault="00C517DA" w:rsidP="00CC112B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C517DA" w:rsidRPr="00996E66" w:rsidRDefault="00C517DA" w:rsidP="00CC112B">
            <w:pPr>
              <w:rPr>
                <w:b/>
                <w:sz w:val="20"/>
                <w:szCs w:val="20"/>
              </w:rPr>
            </w:pPr>
          </w:p>
        </w:tc>
      </w:tr>
      <w:tr w:rsidR="00C517DA" w:rsidRPr="00996E66" w:rsidTr="00E10E5D">
        <w:tc>
          <w:tcPr>
            <w:tcW w:w="1089" w:type="dxa"/>
          </w:tcPr>
          <w:p w:rsidR="00C517DA" w:rsidRPr="00996E66" w:rsidRDefault="00C517DA" w:rsidP="00CC112B">
            <w:pPr>
              <w:rPr>
                <w:b/>
                <w:sz w:val="20"/>
                <w:szCs w:val="20"/>
              </w:rPr>
            </w:pPr>
          </w:p>
        </w:tc>
        <w:tc>
          <w:tcPr>
            <w:tcW w:w="8222" w:type="dxa"/>
          </w:tcPr>
          <w:p w:rsidR="00C517DA" w:rsidRPr="00996E66" w:rsidRDefault="00C517DA" w:rsidP="00CC112B">
            <w:pPr>
              <w:rPr>
                <w:b/>
                <w:sz w:val="20"/>
                <w:szCs w:val="20"/>
              </w:rPr>
            </w:pPr>
            <w:r w:rsidRPr="00996E66">
              <w:rPr>
                <w:sz w:val="20"/>
                <w:szCs w:val="20"/>
              </w:rPr>
              <w:t>Taller de comprensión oral realizado con los estudiantes del grado once en el área de Cátedra</w:t>
            </w:r>
          </w:p>
          <w:p w:rsidR="00C517DA" w:rsidRPr="00996E66" w:rsidRDefault="00C517DA" w:rsidP="00CC112B">
            <w:pPr>
              <w:rPr>
                <w:b/>
                <w:sz w:val="20"/>
                <w:szCs w:val="20"/>
              </w:rPr>
            </w:pPr>
          </w:p>
          <w:p w:rsidR="00C517DA" w:rsidRPr="00996E66" w:rsidRDefault="00C517DA" w:rsidP="00CC112B">
            <w:pPr>
              <w:rPr>
                <w:b/>
                <w:sz w:val="20"/>
                <w:szCs w:val="20"/>
              </w:rPr>
            </w:pPr>
            <w:r w:rsidRPr="00996E66">
              <w:rPr>
                <w:sz w:val="20"/>
                <w:szCs w:val="20"/>
              </w:rPr>
              <w:t>Análisis de textos empleando la ficha de control lectura para el desarrollo de las competencias interpretativa, argumentativa y propositiva.</w:t>
            </w:r>
          </w:p>
          <w:p w:rsidR="00C517DA" w:rsidRPr="00996E66" w:rsidRDefault="00C517DA" w:rsidP="00CC112B">
            <w:pPr>
              <w:rPr>
                <w:b/>
                <w:sz w:val="20"/>
                <w:szCs w:val="20"/>
              </w:rPr>
            </w:pPr>
          </w:p>
          <w:p w:rsidR="00C517DA" w:rsidRPr="00996E66" w:rsidRDefault="00C517DA" w:rsidP="00CC112B">
            <w:pPr>
              <w:rPr>
                <w:b/>
                <w:sz w:val="20"/>
                <w:szCs w:val="20"/>
              </w:rPr>
            </w:pPr>
            <w:r w:rsidRPr="00996E66">
              <w:rPr>
                <w:sz w:val="20"/>
                <w:szCs w:val="20"/>
              </w:rPr>
              <w:t>Lectura digital. Realización de talleres dirigidos para desarrollar de acuerdo a lectura de artículos leídos directamente desde internet</w:t>
            </w:r>
          </w:p>
          <w:p w:rsidR="00C517DA" w:rsidRPr="00996E66" w:rsidRDefault="00C517DA" w:rsidP="00CC112B">
            <w:pPr>
              <w:rPr>
                <w:b/>
                <w:sz w:val="20"/>
                <w:szCs w:val="20"/>
              </w:rPr>
            </w:pPr>
          </w:p>
          <w:p w:rsidR="00C517DA" w:rsidRDefault="00C517DA" w:rsidP="00CC112B">
            <w:pPr>
              <w:rPr>
                <w:sz w:val="20"/>
                <w:szCs w:val="20"/>
              </w:rPr>
            </w:pPr>
            <w:r w:rsidRPr="00996E66">
              <w:rPr>
                <w:sz w:val="20"/>
                <w:szCs w:val="20"/>
              </w:rPr>
              <w:t xml:space="preserve">Técnicas de lectura rápida, actividades realizadas en líneas </w:t>
            </w:r>
          </w:p>
          <w:p w:rsidR="00410F21" w:rsidRDefault="00410F21" w:rsidP="00CC1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Realización de ejercicios de lecturas dirigidos</w:t>
            </w:r>
          </w:p>
          <w:p w:rsidR="00E62DEA" w:rsidRDefault="00410F21" w:rsidP="00CC1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Refuerzo de lectura para pruebas ICFES en diversas áreas y niveles </w:t>
            </w:r>
          </w:p>
          <w:p w:rsidR="00E62DEA" w:rsidRDefault="00E62DEA" w:rsidP="00CC1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Desarrollo de técnicas de expresión oral </w:t>
            </w:r>
          </w:p>
          <w:p w:rsidR="00410F21" w:rsidRDefault="00E62DEA" w:rsidP="00CC1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Transcripción y lectura de textos para mejoramiento de </w:t>
            </w:r>
            <w:r w:rsidR="006911F4">
              <w:rPr>
                <w:sz w:val="20"/>
                <w:szCs w:val="20"/>
              </w:rPr>
              <w:t>ortografía</w:t>
            </w:r>
            <w:r w:rsidR="00410F21">
              <w:rPr>
                <w:sz w:val="20"/>
                <w:szCs w:val="20"/>
              </w:rPr>
              <w:t xml:space="preserve"> </w:t>
            </w:r>
          </w:p>
          <w:p w:rsidR="00E62DEA" w:rsidRDefault="00E62DEA" w:rsidP="00CC1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Dictados y talleres </w:t>
            </w:r>
            <w:r w:rsidR="006911F4">
              <w:rPr>
                <w:sz w:val="20"/>
                <w:szCs w:val="20"/>
              </w:rPr>
              <w:t>dirigidos</w:t>
            </w:r>
            <w:r>
              <w:rPr>
                <w:sz w:val="20"/>
                <w:szCs w:val="20"/>
              </w:rPr>
              <w:t xml:space="preserve"> para la comprensión de textos </w:t>
            </w:r>
          </w:p>
          <w:p w:rsidR="006911F4" w:rsidRDefault="00A60D08" w:rsidP="00CC1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Técnica del Uso o uso indebido del vocabulario empleada mediante la consulta y definición de términos trabajados en clases </w:t>
            </w:r>
          </w:p>
          <w:p w:rsidR="001429A2" w:rsidRDefault="001429A2" w:rsidP="00CC1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Media hora de lectura antes de clase en el área de humanidades </w:t>
            </w:r>
          </w:p>
          <w:p w:rsidR="00005055" w:rsidRDefault="00005055" w:rsidP="00CC1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Asociación, visualización y definición de conceptos </w:t>
            </w:r>
          </w:p>
          <w:p w:rsidR="0065135B" w:rsidRDefault="00EF4539" w:rsidP="00CC1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Elaboración y lecturas de cuentos relacionados con temáticas afines</w:t>
            </w:r>
          </w:p>
          <w:p w:rsidR="00EF4539" w:rsidRDefault="00EF4539" w:rsidP="00CC1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Uso del blog para leer y analizar artículos</w:t>
            </w:r>
          </w:p>
          <w:p w:rsidR="00EF4539" w:rsidRDefault="00EF4539" w:rsidP="00CC1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Realización de talleres con base en la prueba SABER en el nivel de primaria </w:t>
            </w:r>
          </w:p>
          <w:p w:rsidR="006911F4" w:rsidRDefault="0086796A" w:rsidP="0086796A">
            <w:pPr>
              <w:rPr>
                <w:sz w:val="20"/>
                <w:szCs w:val="20"/>
              </w:rPr>
            </w:pPr>
            <w:r w:rsidRPr="0086796A">
              <w:rPr>
                <w:sz w:val="20"/>
                <w:szCs w:val="20"/>
              </w:rPr>
              <w:t xml:space="preserve">Lecturas introductorias y complementarias sobre temas </w:t>
            </w:r>
            <w:r>
              <w:rPr>
                <w:sz w:val="20"/>
                <w:szCs w:val="20"/>
              </w:rPr>
              <w:t>con sus  respectivos cuestionarios con aplicabilidad para las pruebas ICFES</w:t>
            </w:r>
          </w:p>
          <w:p w:rsidR="0086796A" w:rsidRDefault="000E2323" w:rsidP="00867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Implementación</w:t>
            </w:r>
            <w:r w:rsidR="0086796A">
              <w:rPr>
                <w:sz w:val="20"/>
                <w:szCs w:val="20"/>
              </w:rPr>
              <w:t xml:space="preserve"> de la Hora del cuento, con lecturas, ilustración y análisis de los mismos </w:t>
            </w:r>
            <w:r w:rsidR="004009C6">
              <w:rPr>
                <w:sz w:val="20"/>
                <w:szCs w:val="20"/>
              </w:rPr>
              <w:t>(primero)</w:t>
            </w:r>
          </w:p>
          <w:p w:rsidR="004009C6" w:rsidRDefault="004009C6" w:rsidP="00867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Uso de cuaderno como diario de campo para realizar registro</w:t>
            </w:r>
            <w:r w:rsidR="000E2323">
              <w:rPr>
                <w:sz w:val="20"/>
                <w:szCs w:val="20"/>
              </w:rPr>
              <w:t>(noveno)</w:t>
            </w:r>
          </w:p>
          <w:p w:rsidR="000E2323" w:rsidRPr="0086796A" w:rsidRDefault="000E2323" w:rsidP="00867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Elaboración de revistas con temas </w:t>
            </w:r>
            <w:proofErr w:type="spellStart"/>
            <w:r>
              <w:rPr>
                <w:sz w:val="20"/>
                <w:szCs w:val="20"/>
              </w:rPr>
              <w:t>etnoeducativo</w:t>
            </w:r>
            <w:proofErr w:type="spellEnd"/>
            <w:r>
              <w:rPr>
                <w:sz w:val="20"/>
                <w:szCs w:val="20"/>
              </w:rPr>
              <w:t xml:space="preserve"> para abordar temas comunitario en pro del fortalecimiento de la identidad cultural</w:t>
            </w:r>
          </w:p>
        </w:tc>
        <w:tc>
          <w:tcPr>
            <w:tcW w:w="1843" w:type="dxa"/>
          </w:tcPr>
          <w:p w:rsidR="00C517DA" w:rsidRDefault="00C517DA" w:rsidP="00CC112B">
            <w:pPr>
              <w:rPr>
                <w:sz w:val="20"/>
                <w:szCs w:val="20"/>
              </w:rPr>
            </w:pPr>
            <w:r w:rsidRPr="00996E66">
              <w:rPr>
                <w:sz w:val="20"/>
                <w:szCs w:val="20"/>
              </w:rPr>
              <w:lastRenderedPageBreak/>
              <w:t xml:space="preserve">La participación activa de los estudiantes </w:t>
            </w:r>
          </w:p>
          <w:p w:rsidR="00AB27A7" w:rsidRDefault="00AB27A7" w:rsidP="00CC1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Motivación y gusto por la lectura (inferiores)</w:t>
            </w:r>
          </w:p>
          <w:p w:rsidR="002B4B58" w:rsidRDefault="002B4B58" w:rsidP="00CC112B">
            <w:pPr>
              <w:rPr>
                <w:sz w:val="20"/>
                <w:szCs w:val="20"/>
              </w:rPr>
            </w:pPr>
          </w:p>
          <w:p w:rsidR="002B4B58" w:rsidRPr="00996E66" w:rsidRDefault="002B4B58" w:rsidP="00CC112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B362E5">
              <w:rPr>
                <w:sz w:val="20"/>
                <w:szCs w:val="20"/>
              </w:rPr>
              <w:t>ejora</w:t>
            </w:r>
            <w:r>
              <w:rPr>
                <w:sz w:val="20"/>
                <w:szCs w:val="20"/>
              </w:rPr>
              <w:t>miento de las pruebas SAB</w:t>
            </w:r>
            <w:bookmarkStart w:id="0" w:name="_GoBack"/>
            <w:bookmarkEnd w:id="0"/>
            <w:r>
              <w:rPr>
                <w:sz w:val="20"/>
                <w:szCs w:val="20"/>
              </w:rPr>
              <w:t>ER 11</w:t>
            </w:r>
          </w:p>
        </w:tc>
        <w:tc>
          <w:tcPr>
            <w:tcW w:w="1701" w:type="dxa"/>
          </w:tcPr>
          <w:p w:rsidR="00C517DA" w:rsidRPr="00996E66" w:rsidRDefault="00C517DA" w:rsidP="00CC112B">
            <w:pPr>
              <w:rPr>
                <w:b/>
                <w:sz w:val="20"/>
                <w:szCs w:val="20"/>
              </w:rPr>
            </w:pPr>
            <w:r w:rsidRPr="00996E66">
              <w:rPr>
                <w:sz w:val="20"/>
                <w:szCs w:val="20"/>
              </w:rPr>
              <w:t>Poca disposición de los estudiantes para adquirir el material</w:t>
            </w:r>
          </w:p>
          <w:p w:rsidR="00C517DA" w:rsidRDefault="00C517DA" w:rsidP="00CC112B">
            <w:pPr>
              <w:rPr>
                <w:sz w:val="20"/>
                <w:szCs w:val="20"/>
              </w:rPr>
            </w:pPr>
            <w:r w:rsidRPr="00996E66">
              <w:rPr>
                <w:sz w:val="20"/>
                <w:szCs w:val="20"/>
              </w:rPr>
              <w:t>Ausencia de espacios físicos adecuados</w:t>
            </w:r>
          </w:p>
          <w:p w:rsidR="00AB27A7" w:rsidRDefault="00AB27A7" w:rsidP="00CC1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Apatía por la lectura (grados superiores)</w:t>
            </w:r>
          </w:p>
          <w:p w:rsidR="00AE6BD1" w:rsidRPr="00996E66" w:rsidRDefault="00AE6BD1" w:rsidP="00CC112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Ausencia de los espacios físicos para adecuar el material </w:t>
            </w:r>
          </w:p>
        </w:tc>
        <w:tc>
          <w:tcPr>
            <w:tcW w:w="1275" w:type="dxa"/>
          </w:tcPr>
          <w:p w:rsidR="00C517DA" w:rsidRPr="00996E66" w:rsidRDefault="00C517DA" w:rsidP="00C517DA">
            <w:pPr>
              <w:rPr>
                <w:b/>
                <w:sz w:val="20"/>
                <w:szCs w:val="20"/>
                <w:lang w:val="en-US"/>
              </w:rPr>
            </w:pPr>
            <w:r w:rsidRPr="00996E66">
              <w:rPr>
                <w:sz w:val="20"/>
                <w:szCs w:val="20"/>
                <w:lang w:val="en-US"/>
              </w:rPr>
              <w:t xml:space="preserve">Internet, </w:t>
            </w:r>
            <w:proofErr w:type="spellStart"/>
            <w:r w:rsidRPr="00996E66">
              <w:rPr>
                <w:sz w:val="20"/>
                <w:szCs w:val="20"/>
                <w:lang w:val="en-US"/>
              </w:rPr>
              <w:t>textos</w:t>
            </w:r>
            <w:proofErr w:type="spellEnd"/>
            <w:r w:rsidRPr="00996E66">
              <w:rPr>
                <w:sz w:val="20"/>
                <w:szCs w:val="20"/>
                <w:lang w:val="en-US"/>
              </w:rPr>
              <w:t>, video Beam, TV y PC</w:t>
            </w:r>
          </w:p>
        </w:tc>
      </w:tr>
      <w:tr w:rsidR="00C517DA" w:rsidRPr="00996E66" w:rsidTr="00E10E5D">
        <w:tc>
          <w:tcPr>
            <w:tcW w:w="1089" w:type="dxa"/>
          </w:tcPr>
          <w:p w:rsidR="00C517DA" w:rsidRPr="00996E66" w:rsidRDefault="00C517DA" w:rsidP="00CC112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222" w:type="dxa"/>
          </w:tcPr>
          <w:p w:rsidR="00C517DA" w:rsidRPr="00996E66" w:rsidRDefault="00C517DA" w:rsidP="00CC112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C517DA" w:rsidRPr="00996E66" w:rsidRDefault="00C517DA" w:rsidP="00CC112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C517DA" w:rsidRPr="00996E66" w:rsidRDefault="00C517DA" w:rsidP="00CC112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C517DA" w:rsidRPr="00996E66" w:rsidRDefault="00C517DA" w:rsidP="00CC112B">
            <w:pPr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CC112B" w:rsidRPr="00C517DA" w:rsidRDefault="00CC112B" w:rsidP="00CC112B">
      <w:pPr>
        <w:ind w:left="720"/>
        <w:rPr>
          <w:b/>
          <w:lang w:val="en-US"/>
        </w:rPr>
      </w:pPr>
    </w:p>
    <w:p w:rsidR="00CC112B" w:rsidRDefault="00CC112B" w:rsidP="00404840">
      <w:pPr>
        <w:ind w:left="720"/>
        <w:rPr>
          <w:b/>
          <w:lang w:val="en-US"/>
        </w:rPr>
      </w:pPr>
    </w:p>
    <w:p w:rsidR="00404840" w:rsidRPr="00C517DA" w:rsidRDefault="00404840" w:rsidP="00404840">
      <w:pPr>
        <w:ind w:left="720"/>
        <w:rPr>
          <w:b/>
          <w:lang w:val="en-US"/>
        </w:rPr>
      </w:pPr>
    </w:p>
    <w:p w:rsidR="00CC112B" w:rsidRPr="00C517DA" w:rsidRDefault="00CC112B" w:rsidP="00CC112B">
      <w:pPr>
        <w:rPr>
          <w:b/>
          <w:lang w:val="en-US"/>
        </w:rPr>
      </w:pPr>
    </w:p>
    <w:p w:rsidR="00CC112B" w:rsidRPr="00C517DA" w:rsidRDefault="00CC112B" w:rsidP="00CC112B">
      <w:pPr>
        <w:rPr>
          <w:b/>
          <w:lang w:val="en-US"/>
        </w:rPr>
      </w:pPr>
    </w:p>
    <w:p w:rsidR="0034238A" w:rsidRPr="00C517DA" w:rsidRDefault="0034238A">
      <w:pPr>
        <w:rPr>
          <w:lang w:val="en-US"/>
        </w:rPr>
      </w:pPr>
    </w:p>
    <w:sectPr w:rsidR="0034238A" w:rsidRPr="00C517DA" w:rsidSect="00274111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lan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0791F"/>
    <w:multiLevelType w:val="hybridMultilevel"/>
    <w:tmpl w:val="7818B558"/>
    <w:lvl w:ilvl="0" w:tplc="3A18F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537EC"/>
    <w:multiLevelType w:val="hybridMultilevel"/>
    <w:tmpl w:val="3CAAA6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39054B"/>
    <w:multiLevelType w:val="hybridMultilevel"/>
    <w:tmpl w:val="7818B558"/>
    <w:lvl w:ilvl="0" w:tplc="3A18F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F45B2"/>
    <w:multiLevelType w:val="hybridMultilevel"/>
    <w:tmpl w:val="7818B558"/>
    <w:lvl w:ilvl="0" w:tplc="3A18F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B1F0D"/>
    <w:multiLevelType w:val="hybridMultilevel"/>
    <w:tmpl w:val="04C097F4"/>
    <w:lvl w:ilvl="0" w:tplc="3A18F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A80D4F"/>
    <w:multiLevelType w:val="hybridMultilevel"/>
    <w:tmpl w:val="7818B558"/>
    <w:lvl w:ilvl="0" w:tplc="3A18F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7557EE"/>
    <w:multiLevelType w:val="hybridMultilevel"/>
    <w:tmpl w:val="7818B558"/>
    <w:lvl w:ilvl="0" w:tplc="3A18F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12B"/>
    <w:rsid w:val="00005055"/>
    <w:rsid w:val="00031462"/>
    <w:rsid w:val="00034236"/>
    <w:rsid w:val="00040800"/>
    <w:rsid w:val="000E2323"/>
    <w:rsid w:val="001429A2"/>
    <w:rsid w:val="001F17DD"/>
    <w:rsid w:val="00274111"/>
    <w:rsid w:val="002B4B58"/>
    <w:rsid w:val="002C3491"/>
    <w:rsid w:val="002F33B2"/>
    <w:rsid w:val="003053BE"/>
    <w:rsid w:val="0034238A"/>
    <w:rsid w:val="004009C6"/>
    <w:rsid w:val="00404840"/>
    <w:rsid w:val="00410F21"/>
    <w:rsid w:val="00523590"/>
    <w:rsid w:val="0056763E"/>
    <w:rsid w:val="005E49F8"/>
    <w:rsid w:val="0065135B"/>
    <w:rsid w:val="006911F4"/>
    <w:rsid w:val="006A285D"/>
    <w:rsid w:val="006A54E9"/>
    <w:rsid w:val="00753E73"/>
    <w:rsid w:val="00761344"/>
    <w:rsid w:val="0086796A"/>
    <w:rsid w:val="009015AF"/>
    <w:rsid w:val="00954CEA"/>
    <w:rsid w:val="00996E66"/>
    <w:rsid w:val="00A60D08"/>
    <w:rsid w:val="00AB27A7"/>
    <w:rsid w:val="00AE6BD1"/>
    <w:rsid w:val="00B10EDF"/>
    <w:rsid w:val="00B362E5"/>
    <w:rsid w:val="00BD3FB7"/>
    <w:rsid w:val="00C25C75"/>
    <w:rsid w:val="00C517DA"/>
    <w:rsid w:val="00C86F28"/>
    <w:rsid w:val="00CC112B"/>
    <w:rsid w:val="00D11071"/>
    <w:rsid w:val="00D34C38"/>
    <w:rsid w:val="00DD6A99"/>
    <w:rsid w:val="00E10E5D"/>
    <w:rsid w:val="00E62DEA"/>
    <w:rsid w:val="00EF4539"/>
    <w:rsid w:val="00F516C5"/>
    <w:rsid w:val="00FB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590"/>
    <w:pPr>
      <w:spacing w:after="0" w:line="240" w:lineRule="auto"/>
      <w:jc w:val="both"/>
    </w:pPr>
    <w:rPr>
      <w:rFonts w:ascii="Plan" w:eastAsia="Times New Roman" w:hAnsi="Pl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B0D8A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C1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E49F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B0D8A"/>
    <w:rPr>
      <w:rFonts w:asciiTheme="majorHAnsi" w:eastAsiaTheme="majorEastAsia" w:hAnsiTheme="majorHAnsi" w:cstheme="majorBidi"/>
      <w:b/>
      <w:bCs/>
      <w:sz w:val="28"/>
      <w:szCs w:val="2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590"/>
    <w:pPr>
      <w:spacing w:after="0" w:line="240" w:lineRule="auto"/>
      <w:jc w:val="both"/>
    </w:pPr>
    <w:rPr>
      <w:rFonts w:ascii="Plan" w:eastAsia="Times New Roman" w:hAnsi="Pl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B0D8A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C1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E49F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B0D8A"/>
    <w:rPr>
      <w:rFonts w:asciiTheme="majorHAnsi" w:eastAsiaTheme="majorEastAsia" w:hAnsiTheme="majorHAnsi" w:cstheme="majorBidi"/>
      <w:b/>
      <w:bCs/>
      <w:sz w:val="28"/>
      <w:szCs w:val="2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884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Luffi</cp:lastModifiedBy>
  <cp:revision>19</cp:revision>
  <dcterms:created xsi:type="dcterms:W3CDTF">2013-12-04T16:59:00Z</dcterms:created>
  <dcterms:modified xsi:type="dcterms:W3CDTF">2013-12-05T14:51:00Z</dcterms:modified>
</cp:coreProperties>
</file>